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0" w:name="_GoBack"/>
      <w:bookmarkEnd w:id="0"/>
      <w:r>
        <w:rPr>
          <w:b/>
        </w:rPr>
        <w:t>NOTE PER LA COMPILAZIONE DELLA SCHEDA SOPRANNUMERARIO - ATA</w:t>
      </w:r>
    </w:p>
    <w:p>
      <w:pPr>
        <w:rPr>
          <w:b/>
        </w:rPr>
      </w:pPr>
      <w:r>
        <w:rPr>
          <w:b/>
        </w:rPr>
        <w:pict>
          <v:rect id="_x0000_i1025" o:spt="1" style="height:1.5pt;width:0pt;" fillcolor="#A0A0A0" filled="t" stroked="f" coordsize="21600,21600" o:hr="t" o:hrstd="t" o:hralign="center">
            <v:path/>
            <v:fill on="t" focussize="0,0"/>
            <v:stroke on="f"/>
            <v:imagedata o:title=""/>
            <o:lock v:ext="edit"/>
            <w10:wrap type="none"/>
            <w10:anchorlock/>
          </v:rect>
        </w:pict>
      </w:r>
    </w:p>
    <w:p>
      <w:r>
        <w:rPr>
          <w:b/>
          <w:bCs/>
        </w:rPr>
        <w:t>(a)</w:t>
      </w:r>
      <w:r>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
        <w:rPr>
          <w:b/>
          <w:bCs/>
        </w:rPr>
        <w:t>(b)</w:t>
      </w:r>
      <w:r>
        <w:t xml:space="preserve"> Tale servizio è riconosciuto sia al personale ATA già statale, che a quello proveniente dagli Enti Locali: per quest’ultimo personale, ovviamente, non deve essere di nuovo valutato il servizio di cui alla lettera A) e B).</w:t>
      </w:r>
    </w:p>
    <w:p>
      <w:r>
        <w:rPr>
          <w:b/>
          <w:bCs/>
        </w:rPr>
        <w:t>(c)</w:t>
      </w:r>
      <w:r>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
        <w:rPr>
          <w:b/>
          <w:bCs/>
        </w:rPr>
        <w:t>(d)</w:t>
      </w:r>
      <w:r>
        <w:t xml:space="preserve">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
        <w:rPr>
          <w:b/>
          <w:bCs/>
        </w:rPr>
        <w:t>(e)</w:t>
      </w:r>
      <w:r>
        <w:t xml:space="preserv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w:t>
      </w:r>
    </w:p>
    <w:p>
      <w:r>
        <w:t xml:space="preserve">Le condizioni previste alla </w:t>
      </w:r>
      <w:r>
        <w:rPr>
          <w:u w:val="single"/>
        </w:rPr>
        <w:t>lettera F)</w:t>
      </w:r>
      <w:r>
        <w:t xml:space="preserve">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r>
        <w:t>Tale punteggio viene, inoltre, riconosciuto anche a coloro che, nel suddetto periodo, hanno presentato in ambito provinciale:</w:t>
      </w:r>
    </w:p>
    <w:p>
      <w:pPr>
        <w:pStyle w:val="8"/>
        <w:numPr>
          <w:ilvl w:val="0"/>
          <w:numId w:val="1"/>
        </w:numPr>
      </w:pPr>
      <w:r>
        <w:t>domanda condizionata di trasferimento in quanto individuati soprannumerari;</w:t>
      </w:r>
    </w:p>
    <w:p>
      <w:pPr>
        <w:pStyle w:val="8"/>
        <w:numPr>
          <w:ilvl w:val="0"/>
          <w:numId w:val="1"/>
        </w:numPr>
      </w:pPr>
      <w:r>
        <w:t>domanda di rientro nella scuola di precedente titolarità nel quinquennio di fruizione del diritto alla precedenza di cui ai punti II e IV dell’art. 7, comma 1 del CCNI.</w:t>
      </w:r>
    </w:p>
    <w:p>
      <w:r>
        <w:t>Tale punteggio, una volta acquisito, si perde esclusivamente nel caso in cui si ottenga, a seguito di domanda volontaria in ambito provinciale, il trasferimento, il passaggio o l’assegnazione provvisoria.</w:t>
      </w:r>
    </w:p>
    <w:p>
      <w:r>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
        <w:t>Analogamente non perde il riconoscimento del punteggio aggiuntivo il personale trasferito d’ufficio o a domanda condizionata che nel periodo di cui sopra non chiede il rientro nella scuola di precedente titolarità.</w:t>
      </w:r>
    </w:p>
    <w:p>
      <w:r>
        <w:t xml:space="preserve">In ogni caso la sola presentazione della domanda di mobilità, anche in ambito provinciale, non determina la perdita del punteggio aggiuntivo una volta che lo stesso è stato acquisito. </w:t>
      </w:r>
    </w:p>
    <w:p>
      <w:r>
        <w:rPr>
          <w:b/>
          <w:bCs/>
        </w:rPr>
        <w:t>(f)</w:t>
      </w:r>
      <w:r>
        <w:t xml:space="preserve"> Vanno computati nell’anzianità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r>
        <w:rPr>
          <w:b/>
          <w:bCs/>
        </w:rPr>
        <w:t>(1)</w:t>
      </w:r>
      <w:r>
        <w:t xml:space="preserve">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e successive modifiche ed integrazioni.</w:t>
      </w:r>
    </w:p>
    <w:p>
      <w:r>
        <w:rPr>
          <w:b/>
          <w:bCs/>
        </w:rPr>
        <w:t>(2)</w:t>
      </w:r>
      <w:r>
        <w:t xml:space="preserve"> È valutato il periodo coperto da decorrenza giuridica della nomina purché sia stato prestato effettivo servizio nello stesso profilo professionale. Sono comunque valutati con il punteggio previsto dalla presente voce i seguenti servizi:</w:t>
      </w:r>
    </w:p>
    <w:p>
      <w:pPr>
        <w:pStyle w:val="8"/>
        <w:numPr>
          <w:ilvl w:val="0"/>
          <w:numId w:val="2"/>
        </w:numPr>
      </w:pPr>
      <w:r>
        <w:t>il servizio di ruolo prestato quale assistente di scuola materna per il personale iscritto nei ruoli della carriera esecutiva ai sensi dell’art. 8, della legge n. 463/78; il servizio di ruolo prestato quale accudente di convitto dal personale transitato nella terza qualifica ai sensi dell’art. 49, della legge n. 312/80;</w:t>
      </w:r>
    </w:p>
    <w:p>
      <w:pPr>
        <w:pStyle w:val="8"/>
        <w:numPr>
          <w:ilvl w:val="0"/>
          <w:numId w:val="2"/>
        </w:numPr>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il servizio prestato in profilo diverso da quello di appartenenza a seguito di utilizzazione o assegnazione provvisoria;</w:t>
      </w:r>
    </w:p>
    <w:p>
      <w:pPr>
        <w:pStyle w:val="8"/>
        <w:numPr>
          <w:ilvl w:val="0"/>
          <w:numId w:val="2"/>
        </w:numPr>
      </w:pPr>
      <w:r>
        <w:t>il servizio prestato in scuola diversa da quella di titolarità da parte del personale responsabile amministrativo o assistente amministrativo a seguito di utilizzazione, ai sensi dell’art. 11 bis del C.C.N.I. 13.6.2005 e successivi, per la sostituzione del DSGA;</w:t>
      </w:r>
    </w:p>
    <w:p>
      <w:pPr>
        <w:pStyle w:val="8"/>
        <w:numPr>
          <w:ilvl w:val="0"/>
          <w:numId w:val="2"/>
        </w:numPr>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pPr>
        <w:pStyle w:val="8"/>
        <w:numPr>
          <w:ilvl w:val="0"/>
          <w:numId w:val="2"/>
        </w:numPr>
      </w:pPr>
      <w:r>
        <w:t>il servizio prestato dal personale inidoneo durante il periodo di collocamento fuori ruolo ai sensi dell’art. 23, comma 5, del C.C.N.L. sottoscritto il 4 agosto 1995 in mansioni parziali del profilo di appartenenza o in altro profilo comunque coerenti;</w:t>
      </w:r>
    </w:p>
    <w:p>
      <w:pPr>
        <w:pStyle w:val="8"/>
        <w:numPr>
          <w:ilvl w:val="0"/>
          <w:numId w:val="2"/>
        </w:numPr>
      </w:pPr>
      <w: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pPr>
        <w:pStyle w:val="8"/>
        <w:numPr>
          <w:ilvl w:val="0"/>
          <w:numId w:val="2"/>
        </w:numPr>
      </w:pPr>
      <w:r>
        <w:t>per l’attribuzione del punteggio relativo al servizio effettivamente prestato nelle scuole o istituti situati nelle piccole isole si prescinde dal requisito della residenza in sede;</w:t>
      </w:r>
    </w:p>
    <w:p>
      <w:pPr>
        <w:pStyle w:val="8"/>
        <w:numPr>
          <w:ilvl w:val="0"/>
          <w:numId w:val="2"/>
        </w:numPr>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pPr>
        <w:pStyle w:val="8"/>
        <w:numPr>
          <w:ilvl w:val="0"/>
          <w:numId w:val="2"/>
        </w:numPr>
      </w:pPr>
      <w:r>
        <w:t>per l’attribuzione dei punteggi previsti per l’anzianità di servizio - punto I, lettere A), B), C), D) agli insegnanti elementari collocati permanentemente fuori ruolo, ai sensi dell’art. 21, della legge 09.88.1978, n. 463 è valutato il servizio prestato nella carriera di appartenenza, sia in qualità di insegnante elementare sia con mansioni di responsabile amministrativo;</w:t>
      </w:r>
    </w:p>
    <w:p>
      <w:pPr>
        <w:pStyle w:val="8"/>
        <w:numPr>
          <w:ilvl w:val="0"/>
          <w:numId w:val="2"/>
        </w:numPr>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pPr>
        <w:pStyle w:val="8"/>
        <w:numPr>
          <w:ilvl w:val="0"/>
          <w:numId w:val="3"/>
        </w:numPr>
      </w:pPr>
      <w:r>
        <w:t>per ogni anno prestato nei Paesi in via di sviluppo il punteggio è raddoppiato.</w:t>
      </w:r>
    </w:p>
    <w:p>
      <w:r>
        <w:rPr>
          <w:b/>
          <w:bCs/>
        </w:rPr>
        <w:t>(3)</w:t>
      </w:r>
      <w:r>
        <w:t xml:space="preserve"> La valutazione del servizio pre-ruolo,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
        <w:t>Con il punteggio previsto dalla presente voce vanno valutati i seguenti servizi o periodi:</w:t>
      </w:r>
    </w:p>
    <w:p>
      <w:pPr>
        <w:pStyle w:val="8"/>
        <w:numPr>
          <w:ilvl w:val="0"/>
          <w:numId w:val="3"/>
        </w:numPr>
      </w:pPr>
      <w:r>
        <w:t>il servizio di ruolo prestato in qualità di docente;</w:t>
      </w:r>
    </w:p>
    <w:p>
      <w:pPr>
        <w:pStyle w:val="8"/>
        <w:numPr>
          <w:ilvl w:val="0"/>
          <w:numId w:val="3"/>
        </w:numPr>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pPr>
        <w:pStyle w:val="8"/>
        <w:numPr>
          <w:ilvl w:val="0"/>
          <w:numId w:val="3"/>
        </w:numPr>
      </w:pPr>
      <w:r>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w:t>
      </w:r>
    </w:p>
    <w:p>
      <w:r>
        <w:rPr>
          <w:b/>
          <w:bCs/>
        </w:rPr>
        <w:t>(4)</w:t>
      </w:r>
      <w:r>
        <w:t xml:space="preserve">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
        <w:t>Non interrompe, altresì, la continuità del servizio, l’utilizzazione per la sostituzione del DSGA, ai sensi dell’art. 14 del CCNI. 11.09.2014, da parte del personale responsabile amministrativo o assistente amministrativo in scuola diversa da quella di titolarità.</w:t>
      </w:r>
    </w:p>
    <w:p>
      <w:r>
        <w:t>Nei riguardi del personale A.T.A. soprannumerario trasferito d’ufficio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
        <w:rPr>
          <w:b/>
          <w:bCs/>
        </w:rPr>
        <w:t>(4Bis)</w:t>
      </w:r>
      <w:r>
        <w:t xml:space="preserve">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
        <w:rPr>
          <w:b/>
          <w:bCs/>
        </w:rPr>
        <w:t xml:space="preserve">(4Ter) </w:t>
      </w:r>
      <w:r>
        <w:t>Ai fini della formulazione della graduatoria per l’individuazione del soprannumerario, le esigenze di famiglia, da considerarsi in questo caso come esigenze di non allontanamento dalla scuola e dal comune di attuale titolarità, sono valutate nella seguente maniera:</w:t>
      </w:r>
    </w:p>
    <w:p>
      <w:pPr>
        <w:pStyle w:val="8"/>
        <w:numPr>
          <w:ilvl w:val="0"/>
          <w:numId w:val="4"/>
        </w:numPr>
      </w:pPr>
      <w: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pPr>
        <w:pStyle w:val="8"/>
        <w:numPr>
          <w:ilvl w:val="0"/>
          <w:numId w:val="4"/>
        </w:numPr>
      </w:pPr>
      <w:r>
        <w:t>lettera b) e lettera c) valgono sempre;</w:t>
      </w:r>
    </w:p>
    <w:p>
      <w:pPr>
        <w:pStyle w:val="8"/>
        <w:numPr>
          <w:ilvl w:val="0"/>
          <w:numId w:val="4"/>
        </w:numPr>
      </w:pPr>
      <w: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
        <w:t>Il punteggio così calcolato viene utilizzato anche nelle operazioni di trasferimento d’ufficio del soprannumerario.</w:t>
      </w:r>
    </w:p>
    <w:p>
      <w:r>
        <w:rPr>
          <w:b/>
          <w:bCs/>
        </w:rPr>
        <w:t>(5)</w:t>
      </w:r>
      <w:r>
        <w:t xml:space="preserve"> Il punteggio spetta per il comune di residenza del familiare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
        <w:rPr>
          <w:b/>
          <w:bCs/>
        </w:rPr>
        <w:t>(5 bis)</w:t>
      </w:r>
      <w:r>
        <w:t xml:space="preserve"> Per i soli trasferimenti a domanda, le situazioni di cui al presente titolo non si valutano per i trasferimenti nell’ambito della stessa sede (per sede si intende “comune”). </w:t>
      </w:r>
    </w:p>
    <w:p>
      <w:r>
        <w:t>(6) Il punteggio va attribuito anche per i figli che compiono i 6 anni o i 18 anni tra il 1° gennaio e il 31 dicembre dell’anno in cui si effettua il trasferimento.</w:t>
      </w:r>
    </w:p>
    <w:p>
      <w:r>
        <w:rPr>
          <w:b/>
          <w:bCs/>
        </w:rPr>
        <w:t>(7)</w:t>
      </w:r>
      <w:r>
        <w:t xml:space="preserve"> La valutazione e’ attribuita nei seguenti casi: </w:t>
      </w:r>
    </w:p>
    <w:p>
      <w:pPr>
        <w:pStyle w:val="8"/>
        <w:numPr>
          <w:ilvl w:val="0"/>
          <w:numId w:val="5"/>
        </w:numPr>
      </w:pPr>
      <w:r>
        <w:t>figlio minorato ovvero coniuge, o genitore, ricoverati permanentemente in istituto di cura;</w:t>
      </w:r>
    </w:p>
    <w:p>
      <w:pPr>
        <w:pStyle w:val="8"/>
        <w:numPr>
          <w:ilvl w:val="0"/>
          <w:numId w:val="5"/>
        </w:numPr>
      </w:pPr>
      <w:r>
        <w:t>figlio minorato, ovvero coniuge, o genitore, bisognosi di cure continuative presso un istituto di cura tali da comportare la necessità di risiedere nella sede dell’istituto medesimo.</w:t>
      </w:r>
    </w:p>
    <w:p>
      <w:r>
        <w:rPr>
          <w:b/>
          <w:bCs/>
        </w:rPr>
        <w:t>(8)</w:t>
      </w:r>
      <w:r>
        <w:t xml:space="preserve">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
        <w:rPr>
          <w:b/>
          <w:bCs/>
        </w:rPr>
        <w:t>(9)</w:t>
      </w:r>
      <w:r>
        <w:t xml:space="preserve">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D.Lgs.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
        <w:rPr>
          <w:b/>
          <w:bCs/>
        </w:rPr>
        <w:t>(10)</w:t>
      </w:r>
      <w:r>
        <w:t xml:space="preserve">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p>
      <w:r>
        <w:rPr>
          <w:b/>
          <w:bCs/>
        </w:rPr>
        <w:t>(11)</w:t>
      </w:r>
      <w:r>
        <w:t xml:space="preserve">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p>
      <w:pPr>
        <w:rPr>
          <w:b/>
        </w:rPr>
      </w:pPr>
    </w:p>
    <w:p>
      <w:pPr>
        <w:rPr>
          <w:b/>
        </w:rPr>
      </w:pPr>
    </w:p>
    <w:p>
      <w:pPr>
        <w:rPr>
          <w:b/>
        </w:rPr>
      </w:pPr>
    </w:p>
    <w:p>
      <w:pPr>
        <w:rPr>
          <w:b/>
        </w:rPr>
      </w:pPr>
      <w:r>
        <w:rPr>
          <w:b/>
        </w:rPr>
        <w:t>NOTE PER LA COMPILAZIONE DELLA DICHIARAZIONE PERSONALE CUMULATIVA - ATA</w:t>
      </w:r>
    </w:p>
    <w:p>
      <w:pPr>
        <w:rPr>
          <w:b/>
        </w:rPr>
      </w:pPr>
      <w:r>
        <w:rPr>
          <w:b/>
        </w:rPr>
        <w:pict>
          <v:rect id="_x0000_i1026" o:spt="1" style="height:1.5pt;width:0pt;" fillcolor="#A0A0A0" filled="t" stroked="f" coordsize="21600,21600" o:hr="t" o:hrstd="t" o:hralign="center">
            <v:path/>
            <v:fill on="t" focussize="0,0"/>
            <v:stroke on="f"/>
            <v:imagedata o:title=""/>
            <o:lock v:ext="edit"/>
            <w10:wrap type="none"/>
            <w10:anchorlock/>
          </v:rect>
        </w:pict>
      </w:r>
    </w:p>
    <w:p>
      <w:r>
        <w:rPr>
          <w:b/>
        </w:rPr>
        <w:t>(1)</w:t>
      </w:r>
      <w:r>
        <w:t xml:space="preserve"> I punti A-1, A-2 e A-3 sono alternativi tra loro. </w:t>
      </w:r>
    </w:p>
    <w:p>
      <w:r>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
        <w:rPr>
          <w:b/>
        </w:rPr>
        <w:t>(2)</w:t>
      </w:r>
      <w:r>
        <w:t xml:space="preserve"> Il punteggio va attribuito anche per i figli che compiono i sei anni o i diciotto tra il 1 gennaio e il 31 dicembre dell’anno in cui si effettua il trasferimento.</w:t>
      </w:r>
    </w:p>
    <w:p>
      <w:r>
        <w:rPr>
          <w:b/>
        </w:rPr>
        <w:t>(3)</w:t>
      </w:r>
      <w:r>
        <w:t xml:space="preserve"> La valutazione è attribuita nei seguenti casi:</w:t>
      </w:r>
    </w:p>
    <w:p>
      <w:pPr>
        <w:pStyle w:val="8"/>
        <w:numPr>
          <w:ilvl w:val="0"/>
          <w:numId w:val="6"/>
        </w:numPr>
      </w:pPr>
      <w:r>
        <w:t>figlio minorato, ovvero coniuge o genitore, ricoverati permanentemente in un istituto di cura;</w:t>
      </w:r>
    </w:p>
    <w:p>
      <w:pPr>
        <w:pStyle w:val="8"/>
        <w:numPr>
          <w:ilvl w:val="0"/>
          <w:numId w:val="6"/>
        </w:numPr>
      </w:pPr>
      <w:r>
        <w:t>figlio minorato, ovvero coniuge o genitore bisognosi di cure continuative presso un istituto di cura tali da comportare di necessità la residenza nella sede dello istituto medesimo.</w:t>
      </w:r>
    </w:p>
    <w:p>
      <w:pPr>
        <w:pStyle w:val="8"/>
        <w:numPr>
          <w:ilvl w:val="0"/>
          <w:numId w:val="6"/>
        </w:numPr>
      </w:pPr>
      <w: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sectPr>
      <w:footerReference r:id="rId3" w:type="default"/>
      <w:pgSz w:w="11906" w:h="16838"/>
      <w:pgMar w:top="567" w:right="567" w:bottom="567" w:left="567" w:header="567"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999144"/>
      <w:docPartObj>
        <w:docPartGallery w:val="AutoText"/>
      </w:docPartObj>
    </w:sdtPr>
    <w:sdtContent>
      <w:p>
        <w:pPr>
          <w:pStyle w:val="4"/>
          <w:jc w:val="right"/>
        </w:pPr>
        <w:r>
          <w:fldChar w:fldCharType="begin"/>
        </w:r>
        <w:r>
          <w:instrText xml:space="preserve">PAGE   \* MERGEFORMAT</w:instrText>
        </w:r>
        <w:r>
          <w:fldChar w:fldCharType="separate"/>
        </w:r>
        <w:r>
          <w:t>4</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23C1A"/>
    <w:multiLevelType w:val="multilevel"/>
    <w:tmpl w:val="07D23C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94F1B7D"/>
    <w:multiLevelType w:val="multilevel"/>
    <w:tmpl w:val="194F1B7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8A6495"/>
    <w:multiLevelType w:val="multilevel"/>
    <w:tmpl w:val="1A8A649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FB10811"/>
    <w:multiLevelType w:val="multilevel"/>
    <w:tmpl w:val="1FB1081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7AE7449"/>
    <w:multiLevelType w:val="multilevel"/>
    <w:tmpl w:val="57AE744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0C331F6"/>
    <w:multiLevelType w:val="multilevel"/>
    <w:tmpl w:val="70C331F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3"/>
    <w:rsid w:val="00072462"/>
    <w:rsid w:val="000849B4"/>
    <w:rsid w:val="000E3C18"/>
    <w:rsid w:val="000E474B"/>
    <w:rsid w:val="00166676"/>
    <w:rsid w:val="001B1829"/>
    <w:rsid w:val="00247D75"/>
    <w:rsid w:val="00334F74"/>
    <w:rsid w:val="00340E19"/>
    <w:rsid w:val="003C5C21"/>
    <w:rsid w:val="003F1E85"/>
    <w:rsid w:val="004352F8"/>
    <w:rsid w:val="004B09EF"/>
    <w:rsid w:val="005136BF"/>
    <w:rsid w:val="005313BE"/>
    <w:rsid w:val="00540D38"/>
    <w:rsid w:val="00572EE2"/>
    <w:rsid w:val="005F04C6"/>
    <w:rsid w:val="006156D1"/>
    <w:rsid w:val="00624303"/>
    <w:rsid w:val="006A450F"/>
    <w:rsid w:val="00701EF1"/>
    <w:rsid w:val="00736B3B"/>
    <w:rsid w:val="00767376"/>
    <w:rsid w:val="00797B85"/>
    <w:rsid w:val="007C1FF1"/>
    <w:rsid w:val="007E5047"/>
    <w:rsid w:val="007F1057"/>
    <w:rsid w:val="0085387D"/>
    <w:rsid w:val="008862ED"/>
    <w:rsid w:val="008A0E04"/>
    <w:rsid w:val="008A2B4D"/>
    <w:rsid w:val="008F25BF"/>
    <w:rsid w:val="0094538D"/>
    <w:rsid w:val="009519E6"/>
    <w:rsid w:val="00A30EC6"/>
    <w:rsid w:val="00A71B6B"/>
    <w:rsid w:val="00A74E93"/>
    <w:rsid w:val="00AC468F"/>
    <w:rsid w:val="00B117E4"/>
    <w:rsid w:val="00B25527"/>
    <w:rsid w:val="00B61E71"/>
    <w:rsid w:val="00B75F10"/>
    <w:rsid w:val="00B94F13"/>
    <w:rsid w:val="00C83212"/>
    <w:rsid w:val="00C949C8"/>
    <w:rsid w:val="00CF55FB"/>
    <w:rsid w:val="00D76781"/>
    <w:rsid w:val="00D803F3"/>
    <w:rsid w:val="00E76B5D"/>
    <w:rsid w:val="00EC129B"/>
    <w:rsid w:val="00F82B89"/>
    <w:rsid w:val="00F93267"/>
    <w:rsid w:val="3287644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Arial Narrow" w:hAnsi="Arial Narrow" w:eastAsia="Calibri" w:cs="Times New Roman"/>
      <w:sz w:val="22"/>
      <w:szCs w:val="22"/>
      <w:lang w:val="it-IT"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819"/>
        <w:tab w:val="right" w:pos="9638"/>
      </w:tabs>
    </w:pPr>
  </w:style>
  <w:style w:type="paragraph" w:styleId="5">
    <w:name w:val="header"/>
    <w:basedOn w:val="1"/>
    <w:link w:val="9"/>
    <w:unhideWhenUsed/>
    <w:uiPriority w:val="99"/>
    <w:pPr>
      <w:tabs>
        <w:tab w:val="center" w:pos="4819"/>
        <w:tab w:val="right" w:pos="9638"/>
      </w:tabs>
    </w:pPr>
  </w:style>
  <w:style w:type="paragraph" w:customStyle="1" w:styleId="6">
    <w:name w:val="Default"/>
    <w:uiPriority w:val="0"/>
    <w:pPr>
      <w:autoSpaceDE w:val="0"/>
      <w:autoSpaceDN w:val="0"/>
      <w:adjustRightInd w:val="0"/>
    </w:pPr>
    <w:rPr>
      <w:rFonts w:ascii="Times New Roman" w:hAnsi="Times New Roman" w:eastAsia="Calibri" w:cs="Times New Roman"/>
      <w:color w:val="000000"/>
      <w:sz w:val="24"/>
      <w:szCs w:val="24"/>
      <w:lang w:val="it-IT" w:eastAsia="it-IT" w:bidi="ar-SA"/>
    </w:rPr>
  </w:style>
  <w:style w:type="paragraph" w:customStyle="1" w:styleId="7">
    <w:name w:val="testo"/>
    <w:basedOn w:val="1"/>
    <w:uiPriority w:val="0"/>
    <w:pPr>
      <w:autoSpaceDE w:val="0"/>
      <w:autoSpaceDN w:val="0"/>
      <w:ind w:left="567"/>
    </w:pPr>
    <w:rPr>
      <w:rFonts w:ascii="Times New Roman" w:hAnsi="Times New Roman" w:eastAsia="Times New Roman"/>
      <w:sz w:val="20"/>
      <w:szCs w:val="20"/>
      <w:lang w:eastAsia="it-IT"/>
    </w:rPr>
  </w:style>
  <w:style w:type="paragraph" w:styleId="8">
    <w:name w:val="List Paragraph"/>
    <w:basedOn w:val="1"/>
    <w:qFormat/>
    <w:uiPriority w:val="34"/>
    <w:pPr>
      <w:ind w:left="720"/>
      <w:contextualSpacing/>
    </w:pPr>
  </w:style>
  <w:style w:type="character" w:customStyle="1" w:styleId="9">
    <w:name w:val="Intestazione Carattere"/>
    <w:basedOn w:val="2"/>
    <w:link w:val="5"/>
    <w:uiPriority w:val="99"/>
    <w:rPr>
      <w:rFonts w:ascii="Arial Narrow" w:hAnsi="Arial Narrow"/>
      <w:sz w:val="22"/>
      <w:szCs w:val="22"/>
      <w:lang w:eastAsia="en-US"/>
    </w:rPr>
  </w:style>
  <w:style w:type="character" w:customStyle="1" w:styleId="10">
    <w:name w:val="Piè di pagina Carattere"/>
    <w:basedOn w:val="2"/>
    <w:link w:val="4"/>
    <w:uiPriority w:val="99"/>
    <w:rPr>
      <w:rFonts w:ascii="Arial Narrow" w:hAnsi="Arial Narrow"/>
      <w:sz w:val="22"/>
      <w:szCs w:val="22"/>
      <w:lang w:eastAsia="en-US"/>
    </w:rPr>
  </w:style>
  <w:style w:type="paragraph" w:styleId="11">
    <w:name w:val="No Spacing"/>
    <w:qFormat/>
    <w:uiPriority w:val="1"/>
    <w:rPr>
      <w:rFonts w:ascii="Arial Narrow" w:hAnsi="Arial Narrow" w:eastAsia="Calibri" w:cs="Times New Roman"/>
      <w:sz w:val="22"/>
      <w:szCs w:val="22"/>
      <w:lang w:val="it-IT"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3109C-BE56-44FE-BA69-E80CE6FF1D33}">
  <ds:schemaRefs/>
</ds:datastoreItem>
</file>

<file path=docProps/app.xml><?xml version="1.0" encoding="utf-8"?>
<Properties xmlns="http://schemas.openxmlformats.org/officeDocument/2006/extended-properties" xmlns:vt="http://schemas.openxmlformats.org/officeDocument/2006/docPropsVTypes">
  <Template>Normal</Template>
  <Pages>4</Pages>
  <Words>3505</Words>
  <Characters>19980</Characters>
  <Lines>166</Lines>
  <Paragraphs>46</Paragraphs>
  <TotalTime>0</TotalTime>
  <ScaleCrop>false</ScaleCrop>
  <LinksUpToDate>false</LinksUpToDate>
  <CharactersWithSpaces>23439</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2022-02-28T08:45:00Z</dcterms:created>
  <dc:creator>Antonella Gesuele</dc:creator>
  <cp:lastModifiedBy>DIRIGENTE2</cp:lastModifiedBy>
  <cp:lastPrinted>2020-03-22T16:29:00Z</cp:lastPrinted>
  <dcterms:modified xsi:type="dcterms:W3CDTF">2023-03-04T11:45:51Z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9E759406FD064F429399E0A5017BF38B</vt:lpwstr>
  </property>
</Properties>
</file>